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372E16">
      <w:pPr>
        <w:pStyle w:val="Balk1"/>
        <w:ind w:left="1"/>
      </w:pPr>
      <w:r>
        <w:t>01</w:t>
      </w:r>
      <w:r w:rsidR="0001408E">
        <w:t xml:space="preserve"> </w:t>
      </w:r>
      <w:r>
        <w:t xml:space="preserve">HAZİRAN </w:t>
      </w:r>
      <w:r w:rsidR="00F924D6">
        <w:t>202</w:t>
      </w:r>
      <w:r w:rsidR="00283EFF">
        <w:t>6</w:t>
      </w:r>
      <w:r w:rsidR="00F924D6">
        <w:rPr>
          <w:spacing w:val="-1"/>
        </w:rPr>
        <w:t xml:space="preserve"> </w:t>
      </w:r>
      <w:r>
        <w:t>– 21</w:t>
      </w:r>
      <w:r w:rsidR="0001408E">
        <w:t xml:space="preserve"> </w:t>
      </w:r>
      <w:r>
        <w:t>HAZİRAN</w:t>
      </w:r>
      <w:r w:rsidR="0001408E">
        <w:t xml:space="preserve"> </w:t>
      </w:r>
      <w:r w:rsidR="00914B64">
        <w:t>2026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372E16">
        <w:rPr>
          <w:b/>
        </w:rPr>
        <w:t>01</w:t>
      </w:r>
      <w:r w:rsidR="00914B64">
        <w:rPr>
          <w:b/>
        </w:rPr>
        <w:t>.0</w:t>
      </w:r>
      <w:r w:rsidR="00372E16">
        <w:rPr>
          <w:b/>
        </w:rPr>
        <w:t>6</w:t>
      </w:r>
      <w:r w:rsidR="00574F08">
        <w:rPr>
          <w:b/>
        </w:rPr>
        <w:t>.202</w:t>
      </w:r>
      <w:r w:rsidR="00914B64">
        <w:rPr>
          <w:b/>
        </w:rPr>
        <w:t>6</w:t>
      </w:r>
      <w:r w:rsidR="00574F08">
        <w:rPr>
          <w:b/>
        </w:rPr>
        <w:t xml:space="preserve"> – 2</w:t>
      </w:r>
      <w:r w:rsidR="00372E16">
        <w:rPr>
          <w:b/>
        </w:rPr>
        <w:t>1</w:t>
      </w:r>
      <w:r w:rsidR="00914B64">
        <w:rPr>
          <w:b/>
        </w:rPr>
        <w:t>.0</w:t>
      </w:r>
      <w:r w:rsidR="00372E16">
        <w:rPr>
          <w:b/>
        </w:rPr>
        <w:t>6</w:t>
      </w:r>
      <w:r>
        <w:rPr>
          <w:b/>
        </w:rPr>
        <w:t>.202</w:t>
      </w:r>
      <w:r w:rsidR="00914B64">
        <w:rPr>
          <w:b/>
        </w:rPr>
        <w:t>6</w:t>
      </w:r>
      <w:r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 xml:space="preserve">.tr adresinden, tahsis şartları, her parsele ilişkin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</w:t>
      </w:r>
      <w:r w:rsidR="00280D85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914B64">
        <w:trPr>
          <w:trHeight w:val="275"/>
        </w:trPr>
        <w:tc>
          <w:tcPr>
            <w:tcW w:w="9213" w:type="dxa"/>
            <w:shd w:val="clear" w:color="auto" w:fill="B3E4A0"/>
          </w:tcPr>
          <w:p w:rsidR="00914B64" w:rsidRDefault="00914B64" w:rsidP="00914B64">
            <w:pPr>
              <w:pStyle w:val="TableParagraph"/>
              <w:tabs>
                <w:tab w:val="left" w:pos="814"/>
              </w:tabs>
              <w:spacing w:before="1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749"/>
        <w:gridCol w:w="3737"/>
      </w:tblGrid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9" w:type="dxa"/>
          </w:tcPr>
          <w:p w:rsidR="00914B64" w:rsidRPr="003E144F" w:rsidRDefault="00914B64" w:rsidP="00372E1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Arsa Tahsis Bedeli (</w:t>
            </w:r>
            <w:r w:rsidR="00372E16">
              <w:rPr>
                <w:b/>
                <w:sz w:val="24"/>
                <w:szCs w:val="24"/>
              </w:rPr>
              <w:t>Haziran</w:t>
            </w:r>
            <w:r w:rsidR="00FF75A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2026)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2026 Fiyatı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 Genişleme Alanı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Mevcut Alan Arsa Bedeli 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Genişleme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Mevcut 2. Sınıf Sanayi Parselleri Ars</w:t>
            </w:r>
            <w:bookmarkStart w:id="0" w:name="_GoBack"/>
            <w:bookmarkEnd w:id="0"/>
            <w:r w:rsidRPr="003E144F">
              <w:rPr>
                <w:sz w:val="24"/>
                <w:szCs w:val="24"/>
              </w:rPr>
              <w:t>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Hizmet ve Destek alanları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914B64" w:rsidRDefault="00914B64">
      <w:pPr>
        <w:pStyle w:val="GvdeMetni"/>
        <w:rPr>
          <w:b/>
          <w:sz w:val="22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ind w:left="4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5440"/>
        <w:gridCol w:w="3162"/>
      </w:tblGrid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Parsel Tahsis Bedeli Toplamı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Taksit Sayısı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0-3.000.000 TL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3.000.000 TL – 6.000.000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6.000.000 TL – 12.000.000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12.000.000 TL ve Üzeri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Ay</w:t>
            </w:r>
          </w:p>
        </w:tc>
      </w:tr>
    </w:tbl>
    <w:p w:rsidR="00493E33" w:rsidRDefault="00493E33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Parsellerin ihale aşamasında olması durumunda, ihale sürecinde m² birim fiyatlarında artış meydana gelmesi halinde; ilana çıkılan parsel tahsis bedeli toplamı üzerinden belirlenen taksit sayısında herhangi bir değişiklik yapılmayacak olup, ilan edilen taksit sayıları sözleşme hükümleri kapsamında geçerliliğini koruyacaktır.</w:t>
      </w: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75C39" w:rsidRDefault="00E75C39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</w:p>
    <w:p w:rsidR="00016AD1" w:rsidRDefault="00F924D6">
      <w:pPr>
        <w:pStyle w:val="Balk1"/>
        <w:spacing w:before="1"/>
      </w:pPr>
      <w:r>
        <w:lastRenderedPageBreak/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3EFF" w:rsidP="00283EFF">
            <w:pPr>
              <w:pStyle w:val="TableParagraph"/>
              <w:ind w:right="2"/>
            </w:pPr>
            <w:r>
              <w:t>268</w:t>
            </w:r>
            <w:r w:rsidR="0001408E">
              <w:t>/</w:t>
            </w:r>
            <w:r>
              <w:t>4</w:t>
            </w:r>
          </w:p>
        </w:tc>
        <w:tc>
          <w:tcPr>
            <w:tcW w:w="2144" w:type="dxa"/>
          </w:tcPr>
          <w:p w:rsidR="0001408E" w:rsidRDefault="00283EFF" w:rsidP="0001408E">
            <w:pPr>
              <w:pStyle w:val="TableParagraph"/>
              <w:ind w:right="2"/>
            </w:pPr>
            <w:r w:rsidRPr="00283EFF">
              <w:t>7.967,12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0D85" w:rsidP="00283EFF">
            <w:pPr>
              <w:pStyle w:val="TableParagraph"/>
              <w:ind w:right="2"/>
            </w:pPr>
            <w:r>
              <w:t>25</w:t>
            </w:r>
            <w:r w:rsidR="00283EFF">
              <w:t>5</w:t>
            </w:r>
            <w:r>
              <w:t>/</w:t>
            </w:r>
            <w:r w:rsidR="00283EFF">
              <w:t>1</w:t>
            </w:r>
          </w:p>
        </w:tc>
        <w:tc>
          <w:tcPr>
            <w:tcW w:w="2144" w:type="dxa"/>
          </w:tcPr>
          <w:p w:rsidR="0001408E" w:rsidRDefault="00283EFF" w:rsidP="0001408E">
            <w:pPr>
              <w:pStyle w:val="TableParagraph"/>
              <w:ind w:right="2"/>
            </w:pPr>
            <w:r w:rsidRPr="00283EFF">
              <w:t>19.664,44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256/1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5.766,95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256/4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5.815,96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257/2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19.106,12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257/1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19.912,17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260/2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11.915,00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260/1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11.921,74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259/1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29.475,76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372E16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258/1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39.198,55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372E16">
        <w:trPr>
          <w:trHeight w:val="299"/>
        </w:trPr>
        <w:tc>
          <w:tcPr>
            <w:tcW w:w="797" w:type="dxa"/>
          </w:tcPr>
          <w:p w:rsidR="00372E16" w:rsidRDefault="00372E16" w:rsidP="00372E16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2802" w:type="dxa"/>
          </w:tcPr>
          <w:p w:rsidR="00372E16" w:rsidRPr="0001408E" w:rsidRDefault="00372E16" w:rsidP="00372E16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372E16" w:rsidRDefault="00372E16" w:rsidP="00372E16">
            <w:pPr>
              <w:pStyle w:val="TableParagraph"/>
              <w:ind w:right="2"/>
            </w:pPr>
            <w:r>
              <w:t>268/1</w:t>
            </w:r>
          </w:p>
        </w:tc>
        <w:tc>
          <w:tcPr>
            <w:tcW w:w="2144" w:type="dxa"/>
          </w:tcPr>
          <w:p w:rsidR="00372E16" w:rsidRDefault="00372E16" w:rsidP="00372E16">
            <w:pPr>
              <w:pStyle w:val="TableParagraph"/>
              <w:ind w:right="2"/>
            </w:pPr>
            <w:r w:rsidRPr="00372E16">
              <w:t>9.264,15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372E16" w:rsidRPr="0001408E" w:rsidRDefault="00372E16" w:rsidP="00372E16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</w:p>
    <w:p w:rsidR="00B71F0B" w:rsidRDefault="00E75C39">
      <w:pPr>
        <w:pStyle w:val="GvdeMetni"/>
        <w:ind w:left="256"/>
        <w:rPr>
          <w:noProof/>
          <w:sz w:val="20"/>
          <w:lang w:eastAsia="tr-TR"/>
        </w:rPr>
        <w:sectPr w:rsidR="00B71F0B" w:rsidSect="00B71F0B">
          <w:pgSz w:w="16840" w:h="11910" w:orient="landscape"/>
          <w:pgMar w:top="1559" w:right="2160" w:bottom="851" w:left="1202" w:header="312" w:footer="1004" w:gutter="0"/>
          <w:cols w:space="708"/>
        </w:sectPr>
      </w:pPr>
      <w:r>
        <w:rPr>
          <w:noProof/>
          <w:sz w:val="20"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5pt;height:384.75pt">
            <v:imagedata r:id="rId9" o:title="images"/>
          </v:shape>
        </w:pict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proofErr w:type="gramStart"/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F66DA5">
        <w:t>06</w:t>
      </w:r>
      <w:r w:rsidR="00E43CF3">
        <w:t>.</w:t>
      </w:r>
      <w:r w:rsidR="00F66DA5">
        <w:t>0</w:t>
      </w:r>
      <w:r w:rsidR="00E43CF3">
        <w:t>1</w:t>
      </w:r>
      <w:r>
        <w:t>.202</w:t>
      </w:r>
      <w:r w:rsidR="00F66DA5">
        <w:t>6</w:t>
      </w:r>
      <w:r>
        <w:t xml:space="preserve">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  <w:proofErr w:type="gramEnd"/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</w:t>
      </w:r>
      <w:proofErr w:type="spellStart"/>
      <w:r w:rsidR="00F924D6">
        <w:t>Kübaj</w:t>
      </w:r>
      <w:proofErr w:type="spellEnd"/>
      <w:r w:rsidR="00F924D6">
        <w:t xml:space="preserve">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914B64" w:rsidRPr="00744073" w:rsidRDefault="00914B64" w:rsidP="00914B64">
      <w:pPr>
        <w:pStyle w:val="Balk1"/>
        <w:ind w:left="143"/>
        <w:jc w:val="both"/>
        <w:rPr>
          <w:b w:val="0"/>
        </w:rPr>
      </w:pPr>
      <w:r w:rsidRPr="00744073">
        <w:rPr>
          <w:u w:val="single"/>
        </w:rPr>
        <w:t>Bingöl</w:t>
      </w:r>
      <w:r w:rsidRPr="00744073">
        <w:rPr>
          <w:spacing w:val="-5"/>
          <w:u w:val="single"/>
        </w:rPr>
        <w:t xml:space="preserve"> </w:t>
      </w:r>
      <w:r w:rsidRPr="00744073">
        <w:rPr>
          <w:u w:val="single"/>
        </w:rPr>
        <w:t>Organize</w:t>
      </w:r>
      <w:r w:rsidRPr="00744073">
        <w:rPr>
          <w:spacing w:val="-4"/>
          <w:u w:val="single"/>
        </w:rPr>
        <w:t xml:space="preserve"> </w:t>
      </w:r>
      <w:r w:rsidRPr="00744073">
        <w:rPr>
          <w:u w:val="single"/>
        </w:rPr>
        <w:t>Sanayi</w:t>
      </w:r>
      <w:r w:rsidRPr="00744073">
        <w:rPr>
          <w:spacing w:val="-2"/>
          <w:u w:val="single"/>
        </w:rPr>
        <w:t xml:space="preserve"> </w:t>
      </w:r>
      <w:r w:rsidRPr="00744073">
        <w:rPr>
          <w:u w:val="single"/>
        </w:rPr>
        <w:t>Bölgesinde</w:t>
      </w:r>
      <w:r w:rsidRPr="00744073">
        <w:rPr>
          <w:spacing w:val="-6"/>
          <w:u w:val="single"/>
        </w:rPr>
        <w:t xml:space="preserve"> </w:t>
      </w:r>
      <w:r w:rsidRPr="00744073">
        <w:rPr>
          <w:u w:val="single"/>
        </w:rPr>
        <w:t>Kurulamayacak</w:t>
      </w:r>
      <w:r w:rsidRPr="00744073">
        <w:rPr>
          <w:spacing w:val="-4"/>
          <w:u w:val="single"/>
        </w:rPr>
        <w:t xml:space="preserve"> </w:t>
      </w:r>
      <w:r w:rsidRPr="00744073">
        <w:rPr>
          <w:spacing w:val="-2"/>
          <w:u w:val="single"/>
        </w:rPr>
        <w:t>Tesisler;</w:t>
      </w:r>
    </w:p>
    <w:p w:rsidR="00914B64" w:rsidRDefault="00914B64" w:rsidP="00914B64">
      <w:pPr>
        <w:pStyle w:val="GvdeMetni"/>
        <w:ind w:left="143" w:right="-1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ve Bölgemizde yer alan mevcut tesisler ve mevcut tesislerin kapasite artışı haricinde ilk tahsis devir ve kiralama taleplerinin değerlendirilmesi aşamasında;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Bingöl OSB’nin Kuruluş Protokolü / Ana Sözleşmesi çerçevesinde kurulması planlanan sektörler,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Mevcut sektör yapısı,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atıksu</w:t>
      </w:r>
      <w:proofErr w:type="spellEnd"/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>vb.) kullanılmaması,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İnsanların çalışma ve yaşam koşullarına 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Petrol rafineleri,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Kömür veya bitümlü şiştin sıvılaştırıldığı ve </w:t>
      </w:r>
      <w:proofErr w:type="spellStart"/>
      <w:r>
        <w:t>gazlaştırıldığı</w:t>
      </w:r>
      <w:proofErr w:type="spellEnd"/>
      <w:r>
        <w:t xml:space="preserve"> tesisler ile asfalt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lastRenderedPageBreak/>
        <w:t xml:space="preserve">Sıvılaştırılmış petrol gazı dolum ve depolama tesisleri, çimento fabrikaları, beton santralleri, çimento </w:t>
      </w:r>
      <w:proofErr w:type="spellStart"/>
      <w:r>
        <w:t>klingeri</w:t>
      </w:r>
      <w:proofErr w:type="spellEnd"/>
      <w:r>
        <w:t xml:space="preserve">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güç santralleri ile diğer nükleer reaktörler,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Radyoaktif atıkların depolanması, bertaraf ve işlenerek ara/nihai ürüne dönüştürülmesi amacıyla projelendirilen tesisler ve benzeri radyoaktif atık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yakıtların üretilmesi veya zenginleştirilmesi ile ilgili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Endüstriyel nitelikli, sintine ve benzeri atık suların geri kazanım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Petrokimya </w:t>
      </w:r>
      <w:proofErr w:type="spellStart"/>
      <w:proofErr w:type="gramStart"/>
      <w:r>
        <w:t>kompleksleri,biogaz</w:t>
      </w:r>
      <w:proofErr w:type="spellEnd"/>
      <w:proofErr w:type="gramEnd"/>
      <w:r>
        <w:t xml:space="preserve"> tesisleri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Üretimde kapalı </w:t>
      </w:r>
      <w:proofErr w:type="gramStart"/>
      <w:r>
        <w:t>proses</w:t>
      </w:r>
      <w:proofErr w:type="gramEnd"/>
      <w:r>
        <w:t>, gaz veya sıvı yakıt ve toz kaynaklarında fitre sistemlerini kullanan tesisler hariç, tuğla ve kiremit fabrikaları, kömür yıkama kireç, alçı zımpara tesisleri, klor-alkali tesisleri, sülfürik asit, fosforik asit, hidroklorik asit,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Klor ve benzeri kimyasal maddeler üreten yerler, azot sanayi ve gübre üretim tesisleri(sıvı gübre vb.),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Asbest, asbest içeren ürünlerin işlenmesi veya dönüştürülmesi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Ham deri işleme, </w:t>
      </w:r>
      <w:proofErr w:type="gramStart"/>
      <w:r>
        <w:t>padok</w:t>
      </w:r>
      <w:proofErr w:type="gramEnd"/>
      <w:r>
        <w:t xml:space="preserve"> ve sadece hayvan kesimi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Hammadde alanları kapalı ve toz kaynaklarında fitre sistemlerini kullanan tesisler hariç, talk, barit, kalsit, </w:t>
      </w:r>
      <w:proofErr w:type="spellStart"/>
      <w:r>
        <w:t>antimuan</w:t>
      </w:r>
      <w:proofErr w:type="spellEnd"/>
      <w:r>
        <w:t xml:space="preserve"> ve benzeri maddelerin kırma ve öğütme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Katı arık ayrıştırma tesisleri ve her türlü atığın nihai ve/veya ara depolanması ve/veya araziye gömülmesine ilişkin tesisler ile </w:t>
      </w:r>
      <w:proofErr w:type="spellStart"/>
      <w:r>
        <w:t>toksit</w:t>
      </w:r>
      <w:proofErr w:type="spellEnd"/>
      <w:r>
        <w:t>, tıbbi ve tehlikeli atıkların yakılması ve kimyasal yolla arıtmak suretiyle bertaraf edilmesine yönelik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OSB tüzel kişiliği ve katılımcıların kendi ihtiyacı için kurulan/kurulacak hariç olmak üzere, güneş ve rüzgârdan elektrik enerjisi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Her türlü yağ (bitkisel, hayvansal, madeni vb.) üretim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Yüksek fırın-indüksiyon ocağı, izabe ve haddehane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Madeni yağ geri dönüşüm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Burnaz kaynak grubu yeraltı suyu rezervi ve koruma alanı ilanı uyarınca; her türlü madencilik faaliyetine ait tesisler her türlü katı-sıvı ve artıkların depolanmasına ait </w:t>
      </w:r>
      <w:proofErr w:type="spellStart"/>
      <w:r>
        <w:t>tessiler</w:t>
      </w:r>
      <w:proofErr w:type="spellEnd"/>
      <w:r>
        <w:t>, sıvı-katı yakıt depolama tesisleri, akaryakıt ile LPG istasyonu ve benzeri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Balık işleme tesissileri ve Balık unu veya balık yağı üretim tesisi,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Köpek maması imalatı yapan tesislerin kurulma taleplerinin reddine, </w:t>
      </w:r>
    </w:p>
    <w:p w:rsidR="00914B64" w:rsidRDefault="00914B64" w:rsidP="00914B64">
      <w:pPr>
        <w:pStyle w:val="GvdeMetni"/>
        <w:ind w:left="1210" w:right="-11"/>
        <w:jc w:val="both"/>
      </w:pPr>
    </w:p>
    <w:p w:rsidR="00016AD1" w:rsidRDefault="00016AD1">
      <w:pPr>
        <w:pStyle w:val="GvdeMetni"/>
        <w:jc w:val="both"/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 w:rsidSect="00B71F0B">
      <w:pgSz w:w="11910" w:h="16840"/>
      <w:pgMar w:top="2160" w:right="851" w:bottom="1202" w:left="1559" w:header="312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96" w:rsidRDefault="008C6A96">
      <w:r>
        <w:separator/>
      </w:r>
    </w:p>
  </w:endnote>
  <w:endnote w:type="continuationSeparator" w:id="0">
    <w:p w:rsidR="008C6A96" w:rsidRDefault="008C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96" w:rsidRDefault="008C6A96">
      <w:r>
        <w:separator/>
      </w:r>
    </w:p>
  </w:footnote>
  <w:footnote w:type="continuationSeparator" w:id="0">
    <w:p w:rsidR="008C6A96" w:rsidRDefault="008C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97"/>
    <w:multiLevelType w:val="hybridMultilevel"/>
    <w:tmpl w:val="68D4E2E6"/>
    <w:lvl w:ilvl="0" w:tplc="F9FAAC4C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37325C2"/>
    <w:multiLevelType w:val="hybridMultilevel"/>
    <w:tmpl w:val="643CD598"/>
    <w:lvl w:ilvl="0" w:tplc="EBC6BC4C">
      <w:start w:val="2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239572D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172FF"/>
    <w:rsid w:val="001C34C8"/>
    <w:rsid w:val="00211F89"/>
    <w:rsid w:val="002208A0"/>
    <w:rsid w:val="00280D85"/>
    <w:rsid w:val="00283EFF"/>
    <w:rsid w:val="00294B99"/>
    <w:rsid w:val="0035157C"/>
    <w:rsid w:val="00361D14"/>
    <w:rsid w:val="003660F9"/>
    <w:rsid w:val="00372E16"/>
    <w:rsid w:val="00411946"/>
    <w:rsid w:val="00493E33"/>
    <w:rsid w:val="00574F08"/>
    <w:rsid w:val="00722C6D"/>
    <w:rsid w:val="00755502"/>
    <w:rsid w:val="007E4B59"/>
    <w:rsid w:val="00810AD0"/>
    <w:rsid w:val="00844AB7"/>
    <w:rsid w:val="00882023"/>
    <w:rsid w:val="008B21B9"/>
    <w:rsid w:val="008C6A96"/>
    <w:rsid w:val="00914B64"/>
    <w:rsid w:val="009653B2"/>
    <w:rsid w:val="009F097A"/>
    <w:rsid w:val="00A908D3"/>
    <w:rsid w:val="00B03310"/>
    <w:rsid w:val="00B529D8"/>
    <w:rsid w:val="00B71F0B"/>
    <w:rsid w:val="00CF4E8E"/>
    <w:rsid w:val="00D27A99"/>
    <w:rsid w:val="00E02048"/>
    <w:rsid w:val="00E43CF3"/>
    <w:rsid w:val="00E75C39"/>
    <w:rsid w:val="00EB5214"/>
    <w:rsid w:val="00F66DA5"/>
    <w:rsid w:val="00F83856"/>
    <w:rsid w:val="00F924D6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CA78E1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14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Fujıtsu</cp:lastModifiedBy>
  <cp:revision>23</cp:revision>
  <dcterms:created xsi:type="dcterms:W3CDTF">2025-03-19T09:48:00Z</dcterms:created>
  <dcterms:modified xsi:type="dcterms:W3CDTF">2026-06-01T08:18:00Z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